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74643B">
        <w:trPr>
          <w:trHeight w:val="816"/>
        </w:trPr>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74643B" w:rsidRDefault="0074643B" w:rsidP="0074643B">
            <w:pPr>
              <w:rPr>
                <w:color w:val="000000" w:themeColor="text1"/>
                <w:sz w:val="28"/>
                <w:szCs w:val="28"/>
              </w:rPr>
            </w:pPr>
            <w:r>
              <w:rPr>
                <w:color w:val="000000" w:themeColor="text1"/>
                <w:sz w:val="28"/>
                <w:szCs w:val="28"/>
              </w:rPr>
              <w:t>Приложение 17</w:t>
            </w:r>
          </w:p>
          <w:p w:rsidR="00B2617C" w:rsidRPr="00511FD4" w:rsidRDefault="0074643B" w:rsidP="0074643B">
            <w:pPr>
              <w:rPr>
                <w:color w:val="000000" w:themeColor="text1"/>
                <w:sz w:val="28"/>
                <w:szCs w:val="28"/>
              </w:rPr>
            </w:pPr>
            <w:r>
              <w:rPr>
                <w:color w:val="000000"/>
                <w:sz w:val="28"/>
                <w:szCs w:val="28"/>
              </w:rPr>
              <w:t xml:space="preserve">к Закону города Москвы </w:t>
            </w:r>
            <w:r>
              <w:rPr>
                <w:color w:val="000000"/>
                <w:sz w:val="28"/>
                <w:szCs w:val="28"/>
              </w:rPr>
              <w:br/>
              <w:t>от 22.11.2023 № 33</w:t>
            </w:r>
          </w:p>
        </w:tc>
      </w:tr>
    </w:tbl>
    <w:p w:rsidR="00500086" w:rsidRDefault="00500086" w:rsidP="004B1093">
      <w:pPr>
        <w:pStyle w:val="af"/>
        <w:rPr>
          <w:lang w:eastAsia="en-US"/>
        </w:rPr>
      </w:pPr>
    </w:p>
    <w:p w:rsidR="00EA0697" w:rsidRPr="005E7B6B" w:rsidRDefault="00EA0697" w:rsidP="005E7B6B">
      <w:pPr>
        <w:pStyle w:val="1"/>
        <w:jc w:val="center"/>
        <w:rPr>
          <w:b/>
        </w:rPr>
      </w:pPr>
      <w:r w:rsidRPr="005E7B6B">
        <w:rPr>
          <w:b/>
        </w:rPr>
        <w:t>Программа</w:t>
      </w:r>
    </w:p>
    <w:p w:rsidR="00EA0697" w:rsidRPr="005E7B6B" w:rsidRDefault="00EA0697" w:rsidP="005E7B6B">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валюте Российской Федерации на </w:t>
      </w:r>
      <w:r w:rsidR="007A59DE">
        <w:rPr>
          <w:b/>
          <w:sz w:val="28"/>
        </w:rPr>
        <w:t>202</w:t>
      </w:r>
      <w:r w:rsidR="00364522">
        <w:rPr>
          <w:b/>
          <w:sz w:val="28"/>
        </w:rPr>
        <w:t>4</w:t>
      </w:r>
      <w:r w:rsidRPr="005E7B6B">
        <w:rPr>
          <w:b/>
          <w:sz w:val="28"/>
        </w:rPr>
        <w:t xml:space="preserve"> год</w:t>
      </w:r>
    </w:p>
    <w:p w:rsidR="00EA0697" w:rsidRDefault="00EA0697" w:rsidP="00EA0697">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7A59DE">
        <w:rPr>
          <w:b/>
          <w:bCs/>
          <w:color w:val="000000" w:themeColor="text1"/>
          <w:sz w:val="28"/>
          <w:szCs w:val="28"/>
        </w:rPr>
        <w:t>202</w:t>
      </w:r>
      <w:r w:rsidR="00364522">
        <w:rPr>
          <w:b/>
          <w:bCs/>
          <w:color w:val="000000" w:themeColor="text1"/>
          <w:sz w:val="28"/>
          <w:szCs w:val="28"/>
        </w:rPr>
        <w:t>5</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7A59DE">
        <w:rPr>
          <w:b/>
          <w:bCs/>
          <w:color w:val="000000" w:themeColor="text1"/>
          <w:sz w:val="28"/>
          <w:szCs w:val="28"/>
        </w:rPr>
        <w:t>202</w:t>
      </w:r>
      <w:r w:rsidR="00364522">
        <w:rPr>
          <w:b/>
          <w:bCs/>
          <w:color w:val="000000" w:themeColor="text1"/>
          <w:sz w:val="28"/>
          <w:szCs w:val="28"/>
        </w:rPr>
        <w:t>6</w:t>
      </w:r>
      <w:r>
        <w:rPr>
          <w:b/>
          <w:bCs/>
          <w:color w:val="000000" w:themeColor="text1"/>
          <w:sz w:val="28"/>
          <w:szCs w:val="28"/>
        </w:rPr>
        <w:t xml:space="preserve"> </w:t>
      </w:r>
      <w:r w:rsidRPr="00877AAE">
        <w:rPr>
          <w:b/>
          <w:bCs/>
          <w:color w:val="000000" w:themeColor="text1"/>
          <w:sz w:val="28"/>
          <w:szCs w:val="28"/>
        </w:rPr>
        <w:t>годов</w:t>
      </w:r>
    </w:p>
    <w:p w:rsidR="00C14EB6" w:rsidRDefault="00C14EB6" w:rsidP="00EA0697">
      <w:pPr>
        <w:autoSpaceDE w:val="0"/>
        <w:autoSpaceDN w:val="0"/>
        <w:adjustRightInd w:val="0"/>
        <w:jc w:val="center"/>
        <w:rPr>
          <w:b/>
          <w:bCs/>
          <w:color w:val="000000" w:themeColor="text1"/>
          <w:sz w:val="28"/>
          <w:szCs w:val="28"/>
        </w:rPr>
      </w:pPr>
    </w:p>
    <w:p w:rsidR="00C14EB6" w:rsidRDefault="00C14EB6" w:rsidP="00EA0697">
      <w:pPr>
        <w:autoSpaceDE w:val="0"/>
        <w:autoSpaceDN w:val="0"/>
        <w:adjustRightInd w:val="0"/>
        <w:jc w:val="center"/>
        <w:rPr>
          <w:b/>
          <w:bCs/>
          <w:color w:val="000000" w:themeColor="text1"/>
          <w:sz w:val="28"/>
          <w:szCs w:val="28"/>
        </w:rPr>
      </w:pPr>
    </w:p>
    <w:p w:rsidR="00C14EB6" w:rsidRPr="00C14EB6" w:rsidRDefault="00C14EB6" w:rsidP="00C14EB6">
      <w:pPr>
        <w:pStyle w:val="afc"/>
        <w:numPr>
          <w:ilvl w:val="0"/>
          <w:numId w:val="13"/>
        </w:numPr>
        <w:autoSpaceDE w:val="0"/>
        <w:autoSpaceDN w:val="0"/>
        <w:adjustRightInd w:val="0"/>
        <w:spacing w:after="0" w:line="240" w:lineRule="auto"/>
        <w:ind w:left="2835"/>
        <w:contextualSpacing/>
        <w:rPr>
          <w:rFonts w:ascii="Times New Roman" w:hAnsi="Times New Roman"/>
          <w:bCs/>
          <w:sz w:val="28"/>
          <w:szCs w:val="28"/>
        </w:rPr>
      </w:pPr>
      <w:r w:rsidRPr="00C14EB6">
        <w:rPr>
          <w:rFonts w:ascii="Times New Roman" w:hAnsi="Times New Roman"/>
          <w:bCs/>
          <w:sz w:val="28"/>
          <w:szCs w:val="28"/>
        </w:rPr>
        <w:t>Перечень государственных гарантий города Москвы в валюте Российской Федерации,</w:t>
      </w:r>
    </w:p>
    <w:p w:rsidR="00C14EB6" w:rsidRPr="00C14EB6" w:rsidRDefault="00C14EB6" w:rsidP="00C14EB6">
      <w:pPr>
        <w:autoSpaceDE w:val="0"/>
        <w:autoSpaceDN w:val="0"/>
        <w:adjustRightInd w:val="0"/>
        <w:jc w:val="center"/>
        <w:rPr>
          <w:bCs/>
          <w:sz w:val="28"/>
          <w:szCs w:val="28"/>
        </w:rPr>
      </w:pPr>
      <w:r w:rsidRPr="00C14EB6">
        <w:rPr>
          <w:bCs/>
          <w:sz w:val="28"/>
          <w:szCs w:val="28"/>
        </w:rPr>
        <w:t>предоставляемых в 202</w:t>
      </w:r>
      <w:r w:rsidR="00364522">
        <w:rPr>
          <w:bCs/>
          <w:sz w:val="28"/>
          <w:szCs w:val="28"/>
        </w:rPr>
        <w:t>4</w:t>
      </w:r>
      <w:r w:rsidRPr="00C14EB6">
        <w:rPr>
          <w:bCs/>
          <w:sz w:val="28"/>
          <w:szCs w:val="28"/>
        </w:rPr>
        <w:t xml:space="preserve"> году</w:t>
      </w:r>
    </w:p>
    <w:p w:rsidR="00C14EB6" w:rsidRPr="00C14EB6" w:rsidRDefault="00C14EB6" w:rsidP="00C14EB6">
      <w:pPr>
        <w:autoSpaceDE w:val="0"/>
        <w:autoSpaceDN w:val="0"/>
        <w:adjustRightInd w:val="0"/>
        <w:jc w:val="center"/>
        <w:rPr>
          <w:bCs/>
          <w:sz w:val="28"/>
          <w:szCs w:val="28"/>
        </w:rPr>
      </w:pPr>
    </w:p>
    <w:tbl>
      <w:tblPr>
        <w:tblStyle w:val="a3"/>
        <w:tblW w:w="15163" w:type="dxa"/>
        <w:tblLayout w:type="fixed"/>
        <w:tblLook w:val="04A0" w:firstRow="1" w:lastRow="0" w:firstColumn="1" w:lastColumn="0" w:noHBand="0" w:noVBand="1"/>
      </w:tblPr>
      <w:tblGrid>
        <w:gridCol w:w="704"/>
        <w:gridCol w:w="2126"/>
        <w:gridCol w:w="2552"/>
        <w:gridCol w:w="1701"/>
        <w:gridCol w:w="1701"/>
        <w:gridCol w:w="1843"/>
        <w:gridCol w:w="4536"/>
      </w:tblGrid>
      <w:tr w:rsidR="0026789F" w:rsidRPr="00DF7D4F" w:rsidTr="00393475">
        <w:trPr>
          <w:trHeight w:val="914"/>
          <w:tblHeader/>
        </w:trPr>
        <w:tc>
          <w:tcPr>
            <w:tcW w:w="704" w:type="dxa"/>
            <w:vMerge w:val="restart"/>
            <w:vAlign w:val="center"/>
          </w:tcPr>
          <w:p w:rsidR="0026789F" w:rsidRPr="00CF3F10" w:rsidRDefault="0026789F" w:rsidP="00FE1D34">
            <w:pPr>
              <w:autoSpaceDE w:val="0"/>
              <w:autoSpaceDN w:val="0"/>
              <w:adjustRightInd w:val="0"/>
              <w:jc w:val="center"/>
              <w:rPr>
                <w:sz w:val="26"/>
                <w:szCs w:val="26"/>
              </w:rPr>
            </w:pPr>
            <w:r w:rsidRPr="00CF3F10">
              <w:rPr>
                <w:sz w:val="26"/>
                <w:szCs w:val="26"/>
              </w:rPr>
              <w:t>№</w:t>
            </w:r>
            <w:r>
              <w:rPr>
                <w:sz w:val="26"/>
                <w:szCs w:val="26"/>
              </w:rPr>
              <w:t xml:space="preserve"> </w:t>
            </w:r>
            <w:r w:rsidRPr="00CF3F10">
              <w:rPr>
                <w:sz w:val="26"/>
                <w:szCs w:val="26"/>
              </w:rPr>
              <w:t>п/п</w:t>
            </w:r>
          </w:p>
        </w:tc>
        <w:tc>
          <w:tcPr>
            <w:tcW w:w="2126" w:type="dxa"/>
            <w:vMerge w:val="restart"/>
            <w:vAlign w:val="center"/>
          </w:tcPr>
          <w:p w:rsidR="0026789F" w:rsidRPr="00CF3F10" w:rsidRDefault="0026789F" w:rsidP="00FE1D34">
            <w:pPr>
              <w:autoSpaceDE w:val="0"/>
              <w:autoSpaceDN w:val="0"/>
              <w:adjustRightInd w:val="0"/>
              <w:jc w:val="center"/>
              <w:rPr>
                <w:sz w:val="26"/>
                <w:szCs w:val="26"/>
              </w:rPr>
            </w:pPr>
            <w:r>
              <w:rPr>
                <w:sz w:val="26"/>
                <w:szCs w:val="26"/>
              </w:rPr>
              <w:t>Направления (цели) гарантирования</w:t>
            </w:r>
          </w:p>
        </w:tc>
        <w:tc>
          <w:tcPr>
            <w:tcW w:w="2552" w:type="dxa"/>
            <w:vMerge w:val="restart"/>
            <w:vAlign w:val="center"/>
          </w:tcPr>
          <w:p w:rsidR="0026789F" w:rsidRPr="00433D11" w:rsidRDefault="0026789F" w:rsidP="00FE1D34">
            <w:pPr>
              <w:autoSpaceDE w:val="0"/>
              <w:autoSpaceDN w:val="0"/>
              <w:adjustRightInd w:val="0"/>
              <w:jc w:val="center"/>
              <w:rPr>
                <w:sz w:val="26"/>
                <w:szCs w:val="26"/>
              </w:rPr>
            </w:pPr>
            <w:r w:rsidRPr="00433D11">
              <w:rPr>
                <w:sz w:val="26"/>
                <w:szCs w:val="26"/>
              </w:rPr>
              <w:t>Категории и (или) наименования принципалов</w:t>
            </w:r>
          </w:p>
        </w:tc>
        <w:tc>
          <w:tcPr>
            <w:tcW w:w="3402" w:type="dxa"/>
            <w:gridSpan w:val="2"/>
            <w:vAlign w:val="center"/>
          </w:tcPr>
          <w:p w:rsidR="0026789F" w:rsidRPr="00433D11" w:rsidRDefault="0026789F" w:rsidP="00FE1D34">
            <w:pPr>
              <w:autoSpaceDE w:val="0"/>
              <w:autoSpaceDN w:val="0"/>
              <w:adjustRightInd w:val="0"/>
              <w:jc w:val="center"/>
              <w:rPr>
                <w:bCs/>
                <w:strike/>
                <w:sz w:val="26"/>
                <w:szCs w:val="26"/>
              </w:rPr>
            </w:pPr>
            <w:r w:rsidRPr="00433D11">
              <w:rPr>
                <w:sz w:val="26"/>
                <w:szCs w:val="26"/>
              </w:rPr>
              <w:t>Объем государственных гарантий</w:t>
            </w:r>
            <w:r>
              <w:rPr>
                <w:sz w:val="26"/>
                <w:szCs w:val="26"/>
              </w:rPr>
              <w:t xml:space="preserve"> </w:t>
            </w:r>
            <w:r w:rsidRPr="00433D11">
              <w:rPr>
                <w:sz w:val="26"/>
                <w:szCs w:val="26"/>
              </w:rPr>
              <w:t>города Москвы (тыс. рублей)</w:t>
            </w:r>
          </w:p>
        </w:tc>
        <w:tc>
          <w:tcPr>
            <w:tcW w:w="1843" w:type="dxa"/>
            <w:vMerge w:val="restart"/>
            <w:vAlign w:val="center"/>
          </w:tcPr>
          <w:p w:rsidR="0026789F" w:rsidRPr="00BD2CD6" w:rsidRDefault="0026789F" w:rsidP="00FE1D34">
            <w:pPr>
              <w:autoSpaceDE w:val="0"/>
              <w:autoSpaceDN w:val="0"/>
              <w:adjustRightInd w:val="0"/>
              <w:jc w:val="center"/>
              <w:rPr>
                <w:sz w:val="26"/>
                <w:szCs w:val="26"/>
              </w:rPr>
            </w:pPr>
            <w:r w:rsidRPr="00CF3F10">
              <w:rPr>
                <w:sz w:val="26"/>
                <w:szCs w:val="26"/>
              </w:rPr>
              <w:t>Наличие</w:t>
            </w:r>
            <w:r>
              <w:rPr>
                <w:sz w:val="26"/>
                <w:szCs w:val="26"/>
              </w:rPr>
              <w:t xml:space="preserve"> </w:t>
            </w:r>
            <w:r w:rsidRPr="00CF3F10">
              <w:rPr>
                <w:sz w:val="26"/>
                <w:szCs w:val="26"/>
              </w:rPr>
              <w:t>права регрессного требования гаранта к принципалам</w:t>
            </w:r>
          </w:p>
        </w:tc>
        <w:tc>
          <w:tcPr>
            <w:tcW w:w="4536" w:type="dxa"/>
            <w:vMerge w:val="restart"/>
            <w:vAlign w:val="center"/>
          </w:tcPr>
          <w:p w:rsidR="0026789F" w:rsidRPr="00DF7D4F" w:rsidRDefault="0026789F" w:rsidP="00FE1D34">
            <w:pPr>
              <w:tabs>
                <w:tab w:val="left" w:pos="2129"/>
              </w:tabs>
              <w:autoSpaceDE w:val="0"/>
              <w:autoSpaceDN w:val="0"/>
              <w:adjustRightInd w:val="0"/>
              <w:jc w:val="center"/>
              <w:rPr>
                <w:bCs/>
                <w:strike/>
                <w:sz w:val="26"/>
                <w:szCs w:val="26"/>
              </w:rPr>
            </w:pPr>
            <w:r w:rsidRPr="00CF3F10">
              <w:rPr>
                <w:sz w:val="26"/>
                <w:szCs w:val="26"/>
              </w:rPr>
              <w:t>Иные условия</w:t>
            </w:r>
            <w:r>
              <w:rPr>
                <w:sz w:val="26"/>
                <w:szCs w:val="26"/>
              </w:rPr>
              <w:t xml:space="preserve"> </w:t>
            </w:r>
            <w:r w:rsidRPr="00CF3F10">
              <w:rPr>
                <w:sz w:val="26"/>
                <w:szCs w:val="26"/>
              </w:rPr>
              <w:t>предоставления и исполнения</w:t>
            </w:r>
            <w:r>
              <w:rPr>
                <w:sz w:val="26"/>
                <w:szCs w:val="26"/>
              </w:rPr>
              <w:t xml:space="preserve"> государственных гарантий города Москвы</w:t>
            </w:r>
          </w:p>
        </w:tc>
      </w:tr>
      <w:tr w:rsidR="00393475" w:rsidRPr="00DF7D4F" w:rsidTr="00393475">
        <w:trPr>
          <w:tblHeader/>
        </w:trPr>
        <w:tc>
          <w:tcPr>
            <w:tcW w:w="704" w:type="dxa"/>
            <w:vMerge/>
          </w:tcPr>
          <w:p w:rsidR="0026789F" w:rsidRPr="00DF7D4F" w:rsidRDefault="0026789F" w:rsidP="00FE1D34">
            <w:pPr>
              <w:autoSpaceDE w:val="0"/>
              <w:autoSpaceDN w:val="0"/>
              <w:adjustRightInd w:val="0"/>
              <w:jc w:val="center"/>
              <w:rPr>
                <w:sz w:val="26"/>
                <w:szCs w:val="26"/>
              </w:rPr>
            </w:pPr>
          </w:p>
        </w:tc>
        <w:tc>
          <w:tcPr>
            <w:tcW w:w="2126" w:type="dxa"/>
            <w:vMerge/>
          </w:tcPr>
          <w:p w:rsidR="0026789F" w:rsidRPr="00DF7D4F" w:rsidRDefault="0026789F" w:rsidP="00FE1D34">
            <w:pPr>
              <w:autoSpaceDE w:val="0"/>
              <w:autoSpaceDN w:val="0"/>
              <w:adjustRightInd w:val="0"/>
              <w:jc w:val="center"/>
              <w:rPr>
                <w:strike/>
                <w:sz w:val="26"/>
                <w:szCs w:val="26"/>
              </w:rPr>
            </w:pPr>
          </w:p>
        </w:tc>
        <w:tc>
          <w:tcPr>
            <w:tcW w:w="2552" w:type="dxa"/>
            <w:vMerge/>
          </w:tcPr>
          <w:p w:rsidR="0026789F" w:rsidRPr="00433D11" w:rsidRDefault="0026789F" w:rsidP="00FE1D34">
            <w:pPr>
              <w:autoSpaceDE w:val="0"/>
              <w:autoSpaceDN w:val="0"/>
              <w:adjustRightInd w:val="0"/>
              <w:jc w:val="center"/>
              <w:rPr>
                <w:strike/>
                <w:sz w:val="26"/>
                <w:szCs w:val="26"/>
              </w:rPr>
            </w:pPr>
          </w:p>
        </w:tc>
        <w:tc>
          <w:tcPr>
            <w:tcW w:w="1701" w:type="dxa"/>
          </w:tcPr>
          <w:p w:rsidR="0026789F" w:rsidRPr="00433D11" w:rsidRDefault="0026789F" w:rsidP="00FE1D34">
            <w:pPr>
              <w:autoSpaceDE w:val="0"/>
              <w:autoSpaceDN w:val="0"/>
              <w:adjustRightInd w:val="0"/>
              <w:jc w:val="center"/>
              <w:rPr>
                <w:sz w:val="26"/>
                <w:szCs w:val="26"/>
              </w:rPr>
            </w:pPr>
            <w:r w:rsidRPr="00433D11">
              <w:rPr>
                <w:sz w:val="26"/>
                <w:szCs w:val="26"/>
              </w:rPr>
              <w:t>Общий объем гарантий</w:t>
            </w:r>
          </w:p>
        </w:tc>
        <w:tc>
          <w:tcPr>
            <w:tcW w:w="1701" w:type="dxa"/>
            <w:vAlign w:val="center"/>
          </w:tcPr>
          <w:p w:rsidR="0026789F" w:rsidRPr="00433D11" w:rsidRDefault="0026789F" w:rsidP="00FE1D34">
            <w:pPr>
              <w:autoSpaceDE w:val="0"/>
              <w:autoSpaceDN w:val="0"/>
              <w:adjustRightInd w:val="0"/>
              <w:jc w:val="center"/>
              <w:rPr>
                <w:sz w:val="26"/>
                <w:szCs w:val="26"/>
              </w:rPr>
            </w:pPr>
            <w:r w:rsidRPr="00433D11">
              <w:rPr>
                <w:sz w:val="26"/>
                <w:szCs w:val="26"/>
              </w:rPr>
              <w:t>202</w:t>
            </w:r>
            <w:r>
              <w:rPr>
                <w:sz w:val="26"/>
                <w:szCs w:val="26"/>
              </w:rPr>
              <w:t>4</w:t>
            </w:r>
            <w:r w:rsidRPr="00433D11">
              <w:rPr>
                <w:sz w:val="26"/>
                <w:szCs w:val="26"/>
              </w:rPr>
              <w:t xml:space="preserve"> год</w:t>
            </w:r>
          </w:p>
        </w:tc>
        <w:tc>
          <w:tcPr>
            <w:tcW w:w="1843" w:type="dxa"/>
            <w:vMerge/>
          </w:tcPr>
          <w:p w:rsidR="0026789F" w:rsidRPr="00DF7D4F" w:rsidRDefault="0026789F" w:rsidP="00FE1D34">
            <w:pPr>
              <w:autoSpaceDE w:val="0"/>
              <w:autoSpaceDN w:val="0"/>
              <w:adjustRightInd w:val="0"/>
              <w:jc w:val="center"/>
              <w:rPr>
                <w:bCs/>
                <w:strike/>
                <w:sz w:val="26"/>
                <w:szCs w:val="26"/>
              </w:rPr>
            </w:pPr>
          </w:p>
        </w:tc>
        <w:tc>
          <w:tcPr>
            <w:tcW w:w="4536" w:type="dxa"/>
            <w:vMerge/>
          </w:tcPr>
          <w:p w:rsidR="0026789F" w:rsidRPr="00DF7D4F" w:rsidRDefault="0026789F" w:rsidP="00FE1D34">
            <w:pPr>
              <w:autoSpaceDE w:val="0"/>
              <w:autoSpaceDN w:val="0"/>
              <w:adjustRightInd w:val="0"/>
              <w:jc w:val="center"/>
              <w:rPr>
                <w:bCs/>
                <w:strike/>
                <w:sz w:val="26"/>
                <w:szCs w:val="26"/>
              </w:rPr>
            </w:pPr>
          </w:p>
        </w:tc>
      </w:tr>
      <w:tr w:rsidR="00393475" w:rsidRPr="00DF7D4F" w:rsidTr="00393475">
        <w:tc>
          <w:tcPr>
            <w:tcW w:w="704" w:type="dxa"/>
          </w:tcPr>
          <w:p w:rsidR="0026789F" w:rsidRPr="00DF7D4F" w:rsidRDefault="0026789F" w:rsidP="00FE1D34">
            <w:pPr>
              <w:autoSpaceDE w:val="0"/>
              <w:autoSpaceDN w:val="0"/>
              <w:adjustRightInd w:val="0"/>
              <w:jc w:val="center"/>
              <w:rPr>
                <w:sz w:val="26"/>
                <w:szCs w:val="26"/>
              </w:rPr>
            </w:pPr>
            <w:r w:rsidRPr="00DF7D4F">
              <w:rPr>
                <w:sz w:val="26"/>
                <w:szCs w:val="26"/>
              </w:rPr>
              <w:t>1</w:t>
            </w:r>
          </w:p>
        </w:tc>
        <w:tc>
          <w:tcPr>
            <w:tcW w:w="2126" w:type="dxa"/>
          </w:tcPr>
          <w:p w:rsidR="0026789F" w:rsidRPr="00DF7D4F" w:rsidRDefault="0026789F" w:rsidP="00FE1D34">
            <w:pPr>
              <w:autoSpaceDE w:val="0"/>
              <w:autoSpaceDN w:val="0"/>
              <w:adjustRightInd w:val="0"/>
              <w:jc w:val="center"/>
              <w:rPr>
                <w:sz w:val="26"/>
                <w:szCs w:val="26"/>
              </w:rPr>
            </w:pPr>
            <w:r>
              <w:rPr>
                <w:sz w:val="26"/>
                <w:szCs w:val="26"/>
              </w:rPr>
              <w:t>2</w:t>
            </w:r>
          </w:p>
        </w:tc>
        <w:tc>
          <w:tcPr>
            <w:tcW w:w="2552" w:type="dxa"/>
          </w:tcPr>
          <w:p w:rsidR="0026789F" w:rsidRPr="005F475A" w:rsidRDefault="0026789F" w:rsidP="00FE1D34">
            <w:pPr>
              <w:autoSpaceDE w:val="0"/>
              <w:autoSpaceDN w:val="0"/>
              <w:adjustRightInd w:val="0"/>
              <w:jc w:val="center"/>
              <w:rPr>
                <w:sz w:val="26"/>
                <w:szCs w:val="26"/>
              </w:rPr>
            </w:pPr>
            <w:r w:rsidRPr="005F475A">
              <w:rPr>
                <w:sz w:val="26"/>
                <w:szCs w:val="26"/>
              </w:rPr>
              <w:t>3</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t>4</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t>5</w:t>
            </w:r>
          </w:p>
        </w:tc>
        <w:tc>
          <w:tcPr>
            <w:tcW w:w="1843" w:type="dxa"/>
          </w:tcPr>
          <w:p w:rsidR="0026789F" w:rsidRPr="00DF7D4F" w:rsidRDefault="0026789F" w:rsidP="00FE1D34">
            <w:pPr>
              <w:autoSpaceDE w:val="0"/>
              <w:autoSpaceDN w:val="0"/>
              <w:adjustRightInd w:val="0"/>
              <w:jc w:val="center"/>
              <w:rPr>
                <w:sz w:val="26"/>
                <w:szCs w:val="26"/>
              </w:rPr>
            </w:pPr>
            <w:r>
              <w:rPr>
                <w:sz w:val="26"/>
                <w:szCs w:val="26"/>
              </w:rPr>
              <w:t>6</w:t>
            </w:r>
          </w:p>
        </w:tc>
        <w:tc>
          <w:tcPr>
            <w:tcW w:w="4536" w:type="dxa"/>
          </w:tcPr>
          <w:p w:rsidR="0026789F" w:rsidRPr="00DF7D4F" w:rsidRDefault="0026789F" w:rsidP="00FE1D34">
            <w:pPr>
              <w:autoSpaceDE w:val="0"/>
              <w:autoSpaceDN w:val="0"/>
              <w:adjustRightInd w:val="0"/>
              <w:jc w:val="center"/>
              <w:rPr>
                <w:sz w:val="26"/>
                <w:szCs w:val="26"/>
              </w:rPr>
            </w:pPr>
            <w:r>
              <w:rPr>
                <w:sz w:val="26"/>
                <w:szCs w:val="26"/>
              </w:rPr>
              <w:t>7</w:t>
            </w:r>
          </w:p>
        </w:tc>
      </w:tr>
      <w:tr w:rsidR="00393475" w:rsidRPr="00DF7D4F" w:rsidTr="00393475">
        <w:trPr>
          <w:trHeight w:val="740"/>
        </w:trPr>
        <w:tc>
          <w:tcPr>
            <w:tcW w:w="704" w:type="dxa"/>
          </w:tcPr>
          <w:p w:rsidR="0026789F" w:rsidRPr="00805760" w:rsidRDefault="0026789F" w:rsidP="00FE1D34">
            <w:pPr>
              <w:autoSpaceDE w:val="0"/>
              <w:autoSpaceDN w:val="0"/>
              <w:adjustRightInd w:val="0"/>
              <w:jc w:val="center"/>
              <w:rPr>
                <w:sz w:val="26"/>
                <w:szCs w:val="26"/>
              </w:rPr>
            </w:pPr>
            <w:r w:rsidRPr="00805760">
              <w:rPr>
                <w:sz w:val="26"/>
                <w:szCs w:val="26"/>
              </w:rPr>
              <w:t>1</w:t>
            </w:r>
          </w:p>
        </w:tc>
        <w:tc>
          <w:tcPr>
            <w:tcW w:w="2126" w:type="dxa"/>
          </w:tcPr>
          <w:p w:rsidR="0026789F" w:rsidRPr="00805760" w:rsidRDefault="0026789F" w:rsidP="00FE1D34">
            <w:pPr>
              <w:autoSpaceDE w:val="0"/>
              <w:autoSpaceDN w:val="0"/>
              <w:adjustRightInd w:val="0"/>
              <w:rPr>
                <w:sz w:val="26"/>
                <w:szCs w:val="26"/>
              </w:rPr>
            </w:pPr>
            <w:r w:rsidRPr="00805760">
              <w:rPr>
                <w:sz w:val="26"/>
                <w:szCs w:val="26"/>
              </w:rPr>
              <w:t xml:space="preserve">Реализация проектов по строительству и модернизации объектов магистральной инфраструктуры для обеспечения коммунальными ресурсами и электрической </w:t>
            </w:r>
            <w:r w:rsidRPr="00805760">
              <w:rPr>
                <w:sz w:val="26"/>
                <w:szCs w:val="26"/>
              </w:rPr>
              <w:lastRenderedPageBreak/>
              <w:t>энергией объектов комплексного развития территорий, реновации</w:t>
            </w:r>
          </w:p>
        </w:tc>
        <w:tc>
          <w:tcPr>
            <w:tcW w:w="2552" w:type="dxa"/>
          </w:tcPr>
          <w:p w:rsidR="0026789F" w:rsidRPr="005F475A" w:rsidRDefault="0026789F" w:rsidP="00393475">
            <w:pPr>
              <w:autoSpaceDE w:val="0"/>
              <w:autoSpaceDN w:val="0"/>
              <w:adjustRightInd w:val="0"/>
              <w:rPr>
                <w:sz w:val="26"/>
                <w:szCs w:val="26"/>
              </w:rPr>
            </w:pPr>
            <w:r w:rsidRPr="005F475A">
              <w:rPr>
                <w:sz w:val="26"/>
                <w:szCs w:val="26"/>
              </w:rPr>
              <w:lastRenderedPageBreak/>
              <w:t xml:space="preserve">Юридические лица, зарегистрированные на территории города Москвы, осуществляющие регулируемые виды деятельности на территории города Москвы в сфере </w:t>
            </w:r>
            <w:r w:rsidRPr="005F475A">
              <w:rPr>
                <w:color w:val="000000" w:themeColor="text1"/>
                <w:sz w:val="26"/>
                <w:szCs w:val="26"/>
              </w:rPr>
              <w:t xml:space="preserve">коммунального </w:t>
            </w:r>
            <w:r w:rsidRPr="005F475A">
              <w:rPr>
                <w:color w:val="000000" w:themeColor="text1"/>
                <w:sz w:val="26"/>
                <w:szCs w:val="26"/>
              </w:rPr>
              <w:lastRenderedPageBreak/>
              <w:t>хозяйства и электроэнергетики</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lastRenderedPageBreak/>
              <w:t>5 000 000,0</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t>5 000 000,0</w:t>
            </w:r>
          </w:p>
        </w:tc>
        <w:tc>
          <w:tcPr>
            <w:tcW w:w="1843" w:type="dxa"/>
          </w:tcPr>
          <w:p w:rsidR="0026789F" w:rsidRPr="00805760" w:rsidRDefault="0026789F" w:rsidP="00FE1D34">
            <w:pPr>
              <w:autoSpaceDE w:val="0"/>
              <w:autoSpaceDN w:val="0"/>
              <w:adjustRightInd w:val="0"/>
              <w:jc w:val="center"/>
              <w:rPr>
                <w:sz w:val="26"/>
                <w:szCs w:val="26"/>
              </w:rPr>
            </w:pPr>
            <w:r w:rsidRPr="00805760">
              <w:rPr>
                <w:sz w:val="26"/>
                <w:szCs w:val="26"/>
              </w:rPr>
              <w:t>Есть</w:t>
            </w:r>
          </w:p>
        </w:tc>
        <w:tc>
          <w:tcPr>
            <w:tcW w:w="4536" w:type="dxa"/>
          </w:tcPr>
          <w:p w:rsidR="0026789F" w:rsidRPr="00805760" w:rsidRDefault="0026789F" w:rsidP="00393475">
            <w:pPr>
              <w:pStyle w:val="ConsPlusNormal"/>
              <w:ind w:firstLine="0"/>
              <w:jc w:val="both"/>
              <w:rPr>
                <w:rFonts w:ascii="Times New Roman" w:eastAsiaTheme="minorHAnsi" w:hAnsi="Times New Roman" w:cs="Times New Roman"/>
                <w:sz w:val="26"/>
                <w:szCs w:val="26"/>
                <w:lang w:eastAsia="en-US"/>
              </w:rPr>
            </w:pPr>
            <w:r w:rsidRPr="00805760">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26789F" w:rsidRPr="00805760" w:rsidRDefault="0026789F" w:rsidP="00FE1D34">
            <w:pPr>
              <w:pStyle w:val="ConsPlusNormal"/>
              <w:jc w:val="both"/>
              <w:rPr>
                <w:rFonts w:ascii="Times New Roman" w:eastAsiaTheme="minorHAnsi" w:hAnsi="Times New Roman" w:cs="Times New Roman"/>
                <w:sz w:val="26"/>
                <w:szCs w:val="26"/>
                <w:lang w:eastAsia="en-US"/>
              </w:rPr>
            </w:pPr>
          </w:p>
          <w:p w:rsidR="0026789F" w:rsidRPr="00805760" w:rsidRDefault="0026789F" w:rsidP="00E5365D">
            <w:pPr>
              <w:autoSpaceDE w:val="0"/>
              <w:autoSpaceDN w:val="0"/>
              <w:adjustRightInd w:val="0"/>
              <w:jc w:val="both"/>
              <w:rPr>
                <w:sz w:val="26"/>
                <w:szCs w:val="26"/>
              </w:rPr>
            </w:pPr>
            <w:r w:rsidRPr="00805760">
              <w:rPr>
                <w:sz w:val="26"/>
                <w:szCs w:val="26"/>
              </w:rPr>
              <w:t>Государственная гарантия не обеспечивает исполнени</w:t>
            </w:r>
            <w:r w:rsidR="00E5365D">
              <w:rPr>
                <w:sz w:val="26"/>
                <w:szCs w:val="26"/>
              </w:rPr>
              <w:t>е</w:t>
            </w:r>
            <w:r w:rsidRPr="00805760">
              <w:rPr>
                <w:sz w:val="26"/>
                <w:szCs w:val="26"/>
              </w:rPr>
              <w:t xml:space="preserve"> обязательств принципала по уплате штрафов, комиссий, пени за просрочку погашения займа и за просрочку </w:t>
            </w:r>
            <w:r w:rsidRPr="00805760">
              <w:rPr>
                <w:sz w:val="26"/>
                <w:szCs w:val="26"/>
              </w:rPr>
              <w:lastRenderedPageBreak/>
              <w:t>уплаты процентов, других платежей, а также исполнени</w:t>
            </w:r>
            <w:r w:rsidR="00E5365D">
              <w:rPr>
                <w:sz w:val="26"/>
                <w:szCs w:val="26"/>
              </w:rPr>
              <w:t>е</w:t>
            </w:r>
            <w:r w:rsidRPr="00805760">
              <w:rPr>
                <w:sz w:val="26"/>
                <w:szCs w:val="26"/>
              </w:rPr>
              <w:t xml:space="preserve"> иных обязательств</w:t>
            </w:r>
          </w:p>
        </w:tc>
      </w:tr>
      <w:tr w:rsidR="00393475" w:rsidRPr="00DF7D4F" w:rsidTr="00393475">
        <w:trPr>
          <w:trHeight w:val="740"/>
        </w:trPr>
        <w:tc>
          <w:tcPr>
            <w:tcW w:w="704" w:type="dxa"/>
          </w:tcPr>
          <w:p w:rsidR="0026789F" w:rsidRPr="00DF7D4F" w:rsidRDefault="0026789F" w:rsidP="00FE1D34">
            <w:pPr>
              <w:autoSpaceDE w:val="0"/>
              <w:autoSpaceDN w:val="0"/>
              <w:adjustRightInd w:val="0"/>
              <w:jc w:val="center"/>
              <w:rPr>
                <w:sz w:val="26"/>
                <w:szCs w:val="26"/>
              </w:rPr>
            </w:pPr>
            <w:r>
              <w:rPr>
                <w:sz w:val="26"/>
                <w:szCs w:val="26"/>
              </w:rPr>
              <w:lastRenderedPageBreak/>
              <w:t>2</w:t>
            </w:r>
          </w:p>
        </w:tc>
        <w:tc>
          <w:tcPr>
            <w:tcW w:w="2126" w:type="dxa"/>
          </w:tcPr>
          <w:p w:rsidR="0026789F" w:rsidRPr="00805760" w:rsidRDefault="0026789F" w:rsidP="00FE1D34">
            <w:pPr>
              <w:autoSpaceDE w:val="0"/>
              <w:autoSpaceDN w:val="0"/>
              <w:adjustRightInd w:val="0"/>
              <w:rPr>
                <w:sz w:val="26"/>
                <w:szCs w:val="26"/>
              </w:rPr>
            </w:pPr>
            <w:r w:rsidRPr="00805760">
              <w:rPr>
                <w:sz w:val="26"/>
                <w:szCs w:val="26"/>
              </w:rPr>
              <w:t xml:space="preserve">Реализация проектов по строительству и модернизации объектов инфраструктуры для обеспечения коммунальными ресурсами и электрической энергией </w:t>
            </w:r>
          </w:p>
        </w:tc>
        <w:tc>
          <w:tcPr>
            <w:tcW w:w="2552" w:type="dxa"/>
          </w:tcPr>
          <w:p w:rsidR="0026789F" w:rsidRPr="00805760" w:rsidRDefault="0026789F" w:rsidP="00393475">
            <w:pPr>
              <w:autoSpaceDE w:val="0"/>
              <w:autoSpaceDN w:val="0"/>
              <w:adjustRightInd w:val="0"/>
              <w:rPr>
                <w:sz w:val="26"/>
                <w:szCs w:val="26"/>
              </w:rPr>
            </w:pPr>
            <w:r w:rsidRPr="00805760">
              <w:rPr>
                <w:sz w:val="26"/>
                <w:szCs w:val="26"/>
              </w:rPr>
              <w:t xml:space="preserve">Юридические лица, зарегистрированные на территории города Москвы, осуществляющие регулируемые виды деятельности на территории города Москвы в сфере </w:t>
            </w:r>
            <w:r w:rsidRPr="00805760">
              <w:rPr>
                <w:color w:val="000000" w:themeColor="text1"/>
                <w:sz w:val="26"/>
                <w:szCs w:val="26"/>
              </w:rPr>
              <w:t>коммунального хозяйства и электроэнергетики, 100% акций (долей) которых принадлежит городу Москве</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t>10 000 000,0</w:t>
            </w:r>
          </w:p>
        </w:tc>
        <w:tc>
          <w:tcPr>
            <w:tcW w:w="1701" w:type="dxa"/>
          </w:tcPr>
          <w:p w:rsidR="0026789F" w:rsidRPr="005F475A" w:rsidRDefault="0026789F" w:rsidP="00FE1D34">
            <w:pPr>
              <w:autoSpaceDE w:val="0"/>
              <w:autoSpaceDN w:val="0"/>
              <w:adjustRightInd w:val="0"/>
              <w:jc w:val="center"/>
              <w:rPr>
                <w:sz w:val="26"/>
                <w:szCs w:val="26"/>
              </w:rPr>
            </w:pPr>
            <w:r w:rsidRPr="005F475A">
              <w:rPr>
                <w:sz w:val="26"/>
                <w:szCs w:val="26"/>
              </w:rPr>
              <w:t>10 000 000,0</w:t>
            </w:r>
          </w:p>
        </w:tc>
        <w:tc>
          <w:tcPr>
            <w:tcW w:w="1843" w:type="dxa"/>
          </w:tcPr>
          <w:p w:rsidR="0026789F" w:rsidRPr="00805760" w:rsidRDefault="0026789F" w:rsidP="00FE1D34">
            <w:pPr>
              <w:autoSpaceDE w:val="0"/>
              <w:autoSpaceDN w:val="0"/>
              <w:adjustRightInd w:val="0"/>
              <w:jc w:val="center"/>
              <w:rPr>
                <w:sz w:val="26"/>
                <w:szCs w:val="26"/>
              </w:rPr>
            </w:pPr>
            <w:r w:rsidRPr="00805760">
              <w:rPr>
                <w:sz w:val="26"/>
                <w:szCs w:val="26"/>
              </w:rPr>
              <w:t>Нет</w:t>
            </w:r>
          </w:p>
        </w:tc>
        <w:tc>
          <w:tcPr>
            <w:tcW w:w="4536" w:type="dxa"/>
          </w:tcPr>
          <w:p w:rsidR="0026789F" w:rsidRPr="00805760" w:rsidRDefault="0026789F" w:rsidP="00393475">
            <w:pPr>
              <w:pStyle w:val="ConsPlusNormal"/>
              <w:ind w:firstLine="0"/>
              <w:jc w:val="both"/>
              <w:rPr>
                <w:rFonts w:ascii="Times New Roman" w:eastAsiaTheme="minorHAnsi" w:hAnsi="Times New Roman" w:cs="Times New Roman"/>
                <w:sz w:val="26"/>
                <w:szCs w:val="26"/>
                <w:lang w:eastAsia="en-US"/>
              </w:rPr>
            </w:pPr>
            <w:r w:rsidRPr="00805760">
              <w:rPr>
                <w:rFonts w:ascii="Times New Roman" w:eastAsiaTheme="minorHAnsi" w:hAnsi="Times New Roman" w:cs="Times New Roman"/>
                <w:sz w:val="26"/>
                <w:szCs w:val="26"/>
                <w:lang w:eastAsia="en-US"/>
              </w:rPr>
              <w:t>Государственная гарантия обеспечивает исполнение обязательств принципала по погашению задолженности по займу (долгу и процентам) по договору.</w:t>
            </w:r>
          </w:p>
          <w:p w:rsidR="0026789F" w:rsidRPr="00805760" w:rsidRDefault="0026789F" w:rsidP="00FE1D34">
            <w:pPr>
              <w:pStyle w:val="ConsPlusNormal"/>
              <w:jc w:val="both"/>
              <w:rPr>
                <w:rFonts w:ascii="Times New Roman" w:eastAsiaTheme="minorHAnsi" w:hAnsi="Times New Roman" w:cs="Times New Roman"/>
                <w:sz w:val="26"/>
                <w:szCs w:val="26"/>
                <w:lang w:eastAsia="en-US"/>
              </w:rPr>
            </w:pPr>
          </w:p>
          <w:p w:rsidR="0026789F" w:rsidRPr="00805760" w:rsidRDefault="0026789F" w:rsidP="00E5365D">
            <w:pPr>
              <w:autoSpaceDE w:val="0"/>
              <w:autoSpaceDN w:val="0"/>
              <w:adjustRightInd w:val="0"/>
              <w:jc w:val="both"/>
              <w:rPr>
                <w:sz w:val="26"/>
                <w:szCs w:val="26"/>
              </w:rPr>
            </w:pPr>
            <w:r w:rsidRPr="00805760">
              <w:rPr>
                <w:sz w:val="26"/>
                <w:szCs w:val="26"/>
              </w:rPr>
              <w:t>Государственная гар</w:t>
            </w:r>
            <w:r w:rsidR="00E5365D">
              <w:rPr>
                <w:sz w:val="26"/>
                <w:szCs w:val="26"/>
              </w:rPr>
              <w:t>антия не обеспечивает исполнение</w:t>
            </w:r>
            <w:r w:rsidRPr="00805760">
              <w:rPr>
                <w:sz w:val="26"/>
                <w:szCs w:val="26"/>
              </w:rPr>
              <w:t xml:space="preserve"> обязательств принципала по уплате штрафов, комиссий, пени за просрочку погашения займа и за просрочку уплаты процентов, других платежей, а так</w:t>
            </w:r>
            <w:r w:rsidR="00393475">
              <w:rPr>
                <w:sz w:val="26"/>
                <w:szCs w:val="26"/>
              </w:rPr>
              <w:t>же исполнени</w:t>
            </w:r>
            <w:r w:rsidR="00E5365D">
              <w:rPr>
                <w:sz w:val="26"/>
                <w:szCs w:val="26"/>
              </w:rPr>
              <w:t>е</w:t>
            </w:r>
            <w:r w:rsidR="00393475">
              <w:rPr>
                <w:sz w:val="26"/>
                <w:szCs w:val="26"/>
              </w:rPr>
              <w:t xml:space="preserve"> иных обязательств</w:t>
            </w:r>
          </w:p>
        </w:tc>
      </w:tr>
      <w:tr w:rsidR="00393475" w:rsidRPr="00DF7D4F" w:rsidTr="00393475">
        <w:trPr>
          <w:trHeight w:val="383"/>
        </w:trPr>
        <w:tc>
          <w:tcPr>
            <w:tcW w:w="704" w:type="dxa"/>
          </w:tcPr>
          <w:p w:rsidR="0026789F" w:rsidRDefault="0026789F" w:rsidP="00FE1D34">
            <w:pPr>
              <w:autoSpaceDE w:val="0"/>
              <w:autoSpaceDN w:val="0"/>
              <w:adjustRightInd w:val="0"/>
              <w:jc w:val="center"/>
              <w:rPr>
                <w:sz w:val="26"/>
                <w:szCs w:val="26"/>
              </w:rPr>
            </w:pPr>
          </w:p>
        </w:tc>
        <w:tc>
          <w:tcPr>
            <w:tcW w:w="2126" w:type="dxa"/>
          </w:tcPr>
          <w:p w:rsidR="0026789F" w:rsidRPr="00805760" w:rsidRDefault="0026789F" w:rsidP="00FE1D34">
            <w:pPr>
              <w:autoSpaceDE w:val="0"/>
              <w:autoSpaceDN w:val="0"/>
              <w:adjustRightInd w:val="0"/>
              <w:rPr>
                <w:sz w:val="26"/>
                <w:szCs w:val="26"/>
              </w:rPr>
            </w:pPr>
            <w:r>
              <w:rPr>
                <w:sz w:val="26"/>
                <w:szCs w:val="26"/>
              </w:rPr>
              <w:t>ИТОГО</w:t>
            </w:r>
          </w:p>
        </w:tc>
        <w:tc>
          <w:tcPr>
            <w:tcW w:w="2552" w:type="dxa"/>
          </w:tcPr>
          <w:p w:rsidR="0026789F" w:rsidRPr="00D54AD3" w:rsidRDefault="0026789F" w:rsidP="00FE1D34">
            <w:pPr>
              <w:autoSpaceDE w:val="0"/>
              <w:autoSpaceDN w:val="0"/>
              <w:adjustRightInd w:val="0"/>
              <w:rPr>
                <w:sz w:val="26"/>
                <w:szCs w:val="26"/>
              </w:rPr>
            </w:pPr>
          </w:p>
        </w:tc>
        <w:tc>
          <w:tcPr>
            <w:tcW w:w="1701" w:type="dxa"/>
          </w:tcPr>
          <w:p w:rsidR="0026789F" w:rsidRPr="00D54AD3" w:rsidRDefault="0026789F" w:rsidP="00FE1D34">
            <w:pPr>
              <w:autoSpaceDE w:val="0"/>
              <w:autoSpaceDN w:val="0"/>
              <w:adjustRightInd w:val="0"/>
              <w:jc w:val="center"/>
              <w:rPr>
                <w:sz w:val="26"/>
                <w:szCs w:val="26"/>
              </w:rPr>
            </w:pPr>
            <w:r w:rsidRPr="00D54AD3">
              <w:rPr>
                <w:sz w:val="26"/>
                <w:szCs w:val="26"/>
              </w:rPr>
              <w:t>15 000 000,0</w:t>
            </w:r>
          </w:p>
        </w:tc>
        <w:tc>
          <w:tcPr>
            <w:tcW w:w="1701" w:type="dxa"/>
          </w:tcPr>
          <w:p w:rsidR="0026789F" w:rsidRPr="00D54AD3" w:rsidRDefault="0026789F" w:rsidP="00FE1D34">
            <w:pPr>
              <w:autoSpaceDE w:val="0"/>
              <w:autoSpaceDN w:val="0"/>
              <w:adjustRightInd w:val="0"/>
              <w:jc w:val="center"/>
              <w:rPr>
                <w:sz w:val="26"/>
                <w:szCs w:val="26"/>
              </w:rPr>
            </w:pPr>
            <w:r w:rsidRPr="00D54AD3">
              <w:rPr>
                <w:sz w:val="26"/>
                <w:szCs w:val="26"/>
              </w:rPr>
              <w:t>15 000 000,0</w:t>
            </w:r>
          </w:p>
        </w:tc>
        <w:tc>
          <w:tcPr>
            <w:tcW w:w="1843" w:type="dxa"/>
          </w:tcPr>
          <w:p w:rsidR="0026789F" w:rsidRDefault="0026789F" w:rsidP="00FE1D34">
            <w:pPr>
              <w:autoSpaceDE w:val="0"/>
              <w:autoSpaceDN w:val="0"/>
              <w:adjustRightInd w:val="0"/>
              <w:jc w:val="center"/>
              <w:rPr>
                <w:sz w:val="26"/>
                <w:szCs w:val="26"/>
              </w:rPr>
            </w:pPr>
          </w:p>
        </w:tc>
        <w:tc>
          <w:tcPr>
            <w:tcW w:w="4536" w:type="dxa"/>
          </w:tcPr>
          <w:p w:rsidR="0026789F" w:rsidRPr="00805760" w:rsidRDefault="0026789F" w:rsidP="00FE1D34">
            <w:pPr>
              <w:pStyle w:val="ConsPlusNormal"/>
              <w:jc w:val="both"/>
              <w:rPr>
                <w:rFonts w:ascii="Times New Roman" w:eastAsiaTheme="minorHAnsi" w:hAnsi="Times New Roman" w:cs="Times New Roman"/>
                <w:sz w:val="26"/>
                <w:szCs w:val="26"/>
                <w:lang w:eastAsia="en-US"/>
              </w:rPr>
            </w:pPr>
          </w:p>
        </w:tc>
      </w:tr>
    </w:tbl>
    <w:p w:rsidR="00C14EB6" w:rsidRDefault="00C14EB6">
      <w:pPr>
        <w:spacing w:after="200" w:line="276" w:lineRule="auto"/>
        <w:rPr>
          <w:rFonts w:eastAsia="Times New Roman"/>
          <w:bCs/>
          <w:sz w:val="28"/>
          <w:szCs w:val="28"/>
          <w:lang w:eastAsia="en-US"/>
        </w:rPr>
      </w:pPr>
      <w:r>
        <w:rPr>
          <w:bCs/>
          <w:sz w:val="28"/>
          <w:szCs w:val="28"/>
        </w:rPr>
        <w:br w:type="page"/>
      </w:r>
    </w:p>
    <w:p w:rsidR="00C14EB6" w:rsidRPr="00C14EB6" w:rsidRDefault="00C14EB6" w:rsidP="00C14EB6">
      <w:pPr>
        <w:pStyle w:val="afc"/>
        <w:numPr>
          <w:ilvl w:val="0"/>
          <w:numId w:val="13"/>
        </w:numPr>
        <w:autoSpaceDE w:val="0"/>
        <w:autoSpaceDN w:val="0"/>
        <w:adjustRightInd w:val="0"/>
        <w:spacing w:after="0" w:line="240" w:lineRule="auto"/>
        <w:contextualSpacing/>
        <w:rPr>
          <w:rFonts w:ascii="Times New Roman" w:hAnsi="Times New Roman"/>
          <w:bCs/>
          <w:sz w:val="28"/>
          <w:szCs w:val="28"/>
        </w:rPr>
      </w:pPr>
      <w:r w:rsidRPr="00C14EB6">
        <w:rPr>
          <w:rFonts w:ascii="Times New Roman" w:hAnsi="Times New Roman"/>
          <w:bCs/>
          <w:sz w:val="28"/>
          <w:szCs w:val="28"/>
        </w:rPr>
        <w:lastRenderedPageBreak/>
        <w:t xml:space="preserve">Перечень государственных гарантий города Москвы в валюте Российской Федерации, </w:t>
      </w:r>
    </w:p>
    <w:p w:rsidR="00C14EB6" w:rsidRPr="00C14EB6" w:rsidRDefault="00C14EB6" w:rsidP="00C14EB6">
      <w:pPr>
        <w:autoSpaceDE w:val="0"/>
        <w:autoSpaceDN w:val="0"/>
        <w:adjustRightInd w:val="0"/>
        <w:jc w:val="center"/>
        <w:rPr>
          <w:bCs/>
          <w:sz w:val="28"/>
          <w:szCs w:val="28"/>
        </w:rPr>
      </w:pPr>
      <w:r w:rsidRPr="00C14EB6">
        <w:rPr>
          <w:bCs/>
          <w:sz w:val="28"/>
          <w:szCs w:val="28"/>
        </w:rPr>
        <w:t>предоставляемых в 202</w:t>
      </w:r>
      <w:r w:rsidR="0035660F">
        <w:rPr>
          <w:bCs/>
          <w:sz w:val="28"/>
          <w:szCs w:val="28"/>
        </w:rPr>
        <w:t>5</w:t>
      </w:r>
      <w:r w:rsidR="002154EA">
        <w:rPr>
          <w:bCs/>
          <w:sz w:val="28"/>
          <w:szCs w:val="28"/>
        </w:rPr>
        <w:t xml:space="preserve"> и </w:t>
      </w:r>
      <w:r w:rsidRPr="00C14EB6">
        <w:rPr>
          <w:bCs/>
          <w:sz w:val="28"/>
          <w:szCs w:val="28"/>
        </w:rPr>
        <w:t>202</w:t>
      </w:r>
      <w:r w:rsidR="0035660F">
        <w:rPr>
          <w:bCs/>
          <w:sz w:val="28"/>
          <w:szCs w:val="28"/>
        </w:rPr>
        <w:t>6</w:t>
      </w:r>
      <w:r w:rsidRPr="00C14EB6">
        <w:rPr>
          <w:bCs/>
          <w:sz w:val="28"/>
          <w:szCs w:val="28"/>
        </w:rPr>
        <w:t xml:space="preserve"> годах</w:t>
      </w:r>
    </w:p>
    <w:p w:rsidR="00C14EB6" w:rsidRPr="00C14EB6" w:rsidRDefault="00C14EB6" w:rsidP="00C14EB6">
      <w:pPr>
        <w:autoSpaceDE w:val="0"/>
        <w:autoSpaceDN w:val="0"/>
        <w:adjustRightInd w:val="0"/>
        <w:jc w:val="center"/>
        <w:rPr>
          <w:bCs/>
          <w:sz w:val="28"/>
          <w:szCs w:val="28"/>
        </w:rPr>
      </w:pPr>
    </w:p>
    <w:tbl>
      <w:tblPr>
        <w:tblStyle w:val="a3"/>
        <w:tblW w:w="14884" w:type="dxa"/>
        <w:tblInd w:w="-5" w:type="dxa"/>
        <w:tblLayout w:type="fixed"/>
        <w:tblLook w:val="04A0" w:firstRow="1" w:lastRow="0" w:firstColumn="1" w:lastColumn="0" w:noHBand="0" w:noVBand="1"/>
      </w:tblPr>
      <w:tblGrid>
        <w:gridCol w:w="709"/>
        <w:gridCol w:w="2126"/>
        <w:gridCol w:w="1985"/>
        <w:gridCol w:w="1559"/>
        <w:gridCol w:w="1416"/>
        <w:gridCol w:w="1560"/>
        <w:gridCol w:w="2411"/>
        <w:gridCol w:w="3118"/>
      </w:tblGrid>
      <w:tr w:rsidR="00C14EB6" w:rsidRPr="00C14EB6" w:rsidTr="008670B1">
        <w:trPr>
          <w:trHeight w:val="958"/>
        </w:trPr>
        <w:tc>
          <w:tcPr>
            <w:tcW w:w="709" w:type="dxa"/>
            <w:vMerge w:val="restart"/>
          </w:tcPr>
          <w:p w:rsidR="00C14EB6" w:rsidRPr="00C14EB6" w:rsidRDefault="00C14EB6" w:rsidP="009663B7">
            <w:pPr>
              <w:autoSpaceDE w:val="0"/>
              <w:autoSpaceDN w:val="0"/>
              <w:adjustRightInd w:val="0"/>
              <w:jc w:val="center"/>
              <w:rPr>
                <w:sz w:val="28"/>
                <w:szCs w:val="28"/>
              </w:rPr>
            </w:pPr>
            <w:r w:rsidRPr="00C14EB6">
              <w:rPr>
                <w:sz w:val="28"/>
                <w:szCs w:val="28"/>
              </w:rPr>
              <w:t>№</w:t>
            </w:r>
          </w:p>
          <w:p w:rsidR="00C14EB6" w:rsidRPr="00C14EB6" w:rsidRDefault="00C14EB6" w:rsidP="009663B7">
            <w:pPr>
              <w:autoSpaceDE w:val="0"/>
              <w:autoSpaceDN w:val="0"/>
              <w:adjustRightInd w:val="0"/>
              <w:jc w:val="center"/>
              <w:rPr>
                <w:sz w:val="28"/>
                <w:szCs w:val="28"/>
              </w:rPr>
            </w:pPr>
            <w:r w:rsidRPr="00C14EB6">
              <w:rPr>
                <w:sz w:val="28"/>
                <w:szCs w:val="28"/>
              </w:rPr>
              <w:t>п/п</w:t>
            </w:r>
          </w:p>
        </w:tc>
        <w:tc>
          <w:tcPr>
            <w:tcW w:w="2126" w:type="dxa"/>
            <w:vMerge w:val="restart"/>
          </w:tcPr>
          <w:p w:rsidR="00C14EB6" w:rsidRPr="00C14EB6" w:rsidRDefault="00C14EB6" w:rsidP="009663B7">
            <w:pPr>
              <w:autoSpaceDE w:val="0"/>
              <w:autoSpaceDN w:val="0"/>
              <w:adjustRightInd w:val="0"/>
              <w:jc w:val="center"/>
              <w:rPr>
                <w:sz w:val="28"/>
                <w:szCs w:val="28"/>
              </w:rPr>
            </w:pPr>
            <w:r w:rsidRPr="00C14EB6">
              <w:rPr>
                <w:sz w:val="28"/>
                <w:szCs w:val="28"/>
              </w:rPr>
              <w:t>Направления (цели) гарантирования</w:t>
            </w:r>
          </w:p>
        </w:tc>
        <w:tc>
          <w:tcPr>
            <w:tcW w:w="1985" w:type="dxa"/>
            <w:vMerge w:val="restart"/>
          </w:tcPr>
          <w:p w:rsidR="00C14EB6" w:rsidRPr="00C14EB6" w:rsidRDefault="00C14EB6" w:rsidP="009663B7">
            <w:pPr>
              <w:autoSpaceDE w:val="0"/>
              <w:autoSpaceDN w:val="0"/>
              <w:adjustRightInd w:val="0"/>
              <w:jc w:val="center"/>
              <w:rPr>
                <w:sz w:val="28"/>
                <w:szCs w:val="28"/>
              </w:rPr>
            </w:pPr>
            <w:r w:rsidRPr="00C14EB6">
              <w:rPr>
                <w:sz w:val="28"/>
                <w:szCs w:val="28"/>
              </w:rPr>
              <w:t>Категории и (или) наименования принципалов</w:t>
            </w:r>
          </w:p>
        </w:tc>
        <w:tc>
          <w:tcPr>
            <w:tcW w:w="4535" w:type="dxa"/>
            <w:gridSpan w:val="3"/>
          </w:tcPr>
          <w:p w:rsidR="00C14EB6" w:rsidRPr="00C14EB6" w:rsidRDefault="00C14EB6" w:rsidP="009663B7">
            <w:pPr>
              <w:autoSpaceDE w:val="0"/>
              <w:autoSpaceDN w:val="0"/>
              <w:adjustRightInd w:val="0"/>
              <w:jc w:val="center"/>
              <w:rPr>
                <w:sz w:val="28"/>
                <w:szCs w:val="28"/>
              </w:rPr>
            </w:pPr>
            <w:r w:rsidRPr="00C14EB6">
              <w:rPr>
                <w:sz w:val="28"/>
                <w:szCs w:val="28"/>
              </w:rPr>
              <w:t>Объем государственных гарантий</w:t>
            </w:r>
            <w:r w:rsidRPr="00C14EB6">
              <w:rPr>
                <w:sz w:val="28"/>
                <w:szCs w:val="28"/>
              </w:rPr>
              <w:br/>
              <w:t>города Москвы</w:t>
            </w:r>
          </w:p>
          <w:p w:rsidR="00C14EB6" w:rsidRPr="00C14EB6" w:rsidRDefault="00C14EB6" w:rsidP="009663B7">
            <w:pPr>
              <w:autoSpaceDE w:val="0"/>
              <w:autoSpaceDN w:val="0"/>
              <w:adjustRightInd w:val="0"/>
              <w:jc w:val="center"/>
              <w:rPr>
                <w:bCs/>
                <w:strike/>
                <w:sz w:val="28"/>
                <w:szCs w:val="28"/>
              </w:rPr>
            </w:pPr>
            <w:r w:rsidRPr="00C14EB6">
              <w:rPr>
                <w:sz w:val="28"/>
                <w:szCs w:val="28"/>
              </w:rPr>
              <w:t>(тыс. рублей)</w:t>
            </w:r>
          </w:p>
        </w:tc>
        <w:tc>
          <w:tcPr>
            <w:tcW w:w="2411" w:type="dxa"/>
            <w:vMerge w:val="restart"/>
          </w:tcPr>
          <w:p w:rsidR="00C14EB6" w:rsidRPr="00C14EB6" w:rsidRDefault="00C14EB6" w:rsidP="00E5365D">
            <w:pPr>
              <w:autoSpaceDE w:val="0"/>
              <w:autoSpaceDN w:val="0"/>
              <w:adjustRightInd w:val="0"/>
              <w:jc w:val="center"/>
              <w:rPr>
                <w:bCs/>
                <w:strike/>
                <w:sz w:val="28"/>
                <w:szCs w:val="28"/>
              </w:rPr>
            </w:pPr>
            <w:r w:rsidRPr="00C14EB6">
              <w:rPr>
                <w:sz w:val="28"/>
                <w:szCs w:val="28"/>
              </w:rPr>
              <w:t>Наличие права регрессного требования гаранта к принципалам</w:t>
            </w:r>
          </w:p>
        </w:tc>
        <w:tc>
          <w:tcPr>
            <w:tcW w:w="3118" w:type="dxa"/>
            <w:vMerge w:val="restart"/>
          </w:tcPr>
          <w:p w:rsidR="00C14EB6" w:rsidRPr="00C14EB6" w:rsidRDefault="00C14EB6" w:rsidP="009663B7">
            <w:pPr>
              <w:tabs>
                <w:tab w:val="left" w:pos="2129"/>
              </w:tabs>
              <w:autoSpaceDE w:val="0"/>
              <w:autoSpaceDN w:val="0"/>
              <w:adjustRightInd w:val="0"/>
              <w:jc w:val="center"/>
              <w:rPr>
                <w:sz w:val="28"/>
                <w:szCs w:val="28"/>
              </w:rPr>
            </w:pPr>
            <w:r w:rsidRPr="00C14EB6">
              <w:rPr>
                <w:sz w:val="28"/>
                <w:szCs w:val="28"/>
              </w:rPr>
              <w:t>Иные условия</w:t>
            </w:r>
          </w:p>
          <w:p w:rsidR="00C14EB6" w:rsidRPr="00C14EB6" w:rsidRDefault="00C14EB6" w:rsidP="009663B7">
            <w:pPr>
              <w:autoSpaceDE w:val="0"/>
              <w:autoSpaceDN w:val="0"/>
              <w:adjustRightInd w:val="0"/>
              <w:jc w:val="center"/>
              <w:rPr>
                <w:sz w:val="28"/>
                <w:szCs w:val="28"/>
              </w:rPr>
            </w:pPr>
            <w:r w:rsidRPr="00C14EB6">
              <w:rPr>
                <w:sz w:val="28"/>
                <w:szCs w:val="28"/>
              </w:rPr>
              <w:t xml:space="preserve">предоставления </w:t>
            </w:r>
          </w:p>
          <w:p w:rsidR="00C14EB6" w:rsidRPr="00C14EB6" w:rsidRDefault="00C14EB6" w:rsidP="009663B7">
            <w:pPr>
              <w:autoSpaceDE w:val="0"/>
              <w:autoSpaceDN w:val="0"/>
              <w:adjustRightInd w:val="0"/>
              <w:jc w:val="center"/>
              <w:rPr>
                <w:sz w:val="28"/>
                <w:szCs w:val="28"/>
              </w:rPr>
            </w:pPr>
            <w:r w:rsidRPr="00C14EB6">
              <w:rPr>
                <w:sz w:val="28"/>
                <w:szCs w:val="28"/>
              </w:rPr>
              <w:t>и исполнения</w:t>
            </w:r>
          </w:p>
          <w:p w:rsidR="00C14EB6" w:rsidRPr="00C14EB6" w:rsidRDefault="00C14EB6" w:rsidP="009663B7">
            <w:pPr>
              <w:autoSpaceDE w:val="0"/>
              <w:autoSpaceDN w:val="0"/>
              <w:adjustRightInd w:val="0"/>
              <w:jc w:val="center"/>
              <w:rPr>
                <w:bCs/>
                <w:strike/>
                <w:sz w:val="28"/>
                <w:szCs w:val="28"/>
              </w:rPr>
            </w:pPr>
            <w:r w:rsidRPr="00C14EB6">
              <w:rPr>
                <w:sz w:val="28"/>
                <w:szCs w:val="28"/>
              </w:rPr>
              <w:t>государственных гарантий города Москвы</w:t>
            </w:r>
          </w:p>
        </w:tc>
      </w:tr>
      <w:tr w:rsidR="00C14EB6" w:rsidRPr="00C14EB6" w:rsidTr="008670B1">
        <w:tc>
          <w:tcPr>
            <w:tcW w:w="709" w:type="dxa"/>
            <w:vMerge/>
          </w:tcPr>
          <w:p w:rsidR="00C14EB6" w:rsidRPr="00C14EB6" w:rsidRDefault="00C14EB6" w:rsidP="009663B7">
            <w:pPr>
              <w:autoSpaceDE w:val="0"/>
              <w:autoSpaceDN w:val="0"/>
              <w:adjustRightInd w:val="0"/>
              <w:jc w:val="center"/>
              <w:rPr>
                <w:sz w:val="28"/>
                <w:szCs w:val="28"/>
              </w:rPr>
            </w:pPr>
          </w:p>
        </w:tc>
        <w:tc>
          <w:tcPr>
            <w:tcW w:w="2126" w:type="dxa"/>
            <w:vMerge/>
          </w:tcPr>
          <w:p w:rsidR="00C14EB6" w:rsidRPr="00C14EB6" w:rsidRDefault="00C14EB6" w:rsidP="009663B7">
            <w:pPr>
              <w:autoSpaceDE w:val="0"/>
              <w:autoSpaceDN w:val="0"/>
              <w:adjustRightInd w:val="0"/>
              <w:jc w:val="center"/>
              <w:rPr>
                <w:strike/>
                <w:sz w:val="28"/>
                <w:szCs w:val="28"/>
              </w:rPr>
            </w:pPr>
          </w:p>
        </w:tc>
        <w:tc>
          <w:tcPr>
            <w:tcW w:w="1985" w:type="dxa"/>
            <w:vMerge/>
          </w:tcPr>
          <w:p w:rsidR="00C14EB6" w:rsidRPr="00C14EB6" w:rsidRDefault="00C14EB6" w:rsidP="009663B7">
            <w:pPr>
              <w:autoSpaceDE w:val="0"/>
              <w:autoSpaceDN w:val="0"/>
              <w:adjustRightInd w:val="0"/>
              <w:jc w:val="center"/>
              <w:rPr>
                <w:strike/>
                <w:sz w:val="28"/>
                <w:szCs w:val="28"/>
              </w:rPr>
            </w:pPr>
          </w:p>
        </w:tc>
        <w:tc>
          <w:tcPr>
            <w:tcW w:w="1559" w:type="dxa"/>
          </w:tcPr>
          <w:p w:rsidR="00C14EB6" w:rsidRPr="00C14EB6" w:rsidRDefault="00C14EB6" w:rsidP="009663B7">
            <w:pPr>
              <w:autoSpaceDE w:val="0"/>
              <w:autoSpaceDN w:val="0"/>
              <w:adjustRightInd w:val="0"/>
              <w:jc w:val="center"/>
              <w:rPr>
                <w:sz w:val="28"/>
                <w:szCs w:val="28"/>
              </w:rPr>
            </w:pPr>
            <w:r w:rsidRPr="00C14EB6">
              <w:rPr>
                <w:sz w:val="28"/>
                <w:szCs w:val="28"/>
              </w:rPr>
              <w:t>Общий объем гарантий</w:t>
            </w:r>
          </w:p>
        </w:tc>
        <w:tc>
          <w:tcPr>
            <w:tcW w:w="1416" w:type="dxa"/>
          </w:tcPr>
          <w:p w:rsidR="00C14EB6" w:rsidRPr="00C14EB6" w:rsidRDefault="00C14EB6" w:rsidP="009663B7">
            <w:pPr>
              <w:autoSpaceDE w:val="0"/>
              <w:autoSpaceDN w:val="0"/>
              <w:adjustRightInd w:val="0"/>
              <w:jc w:val="center"/>
              <w:rPr>
                <w:sz w:val="28"/>
                <w:szCs w:val="28"/>
              </w:rPr>
            </w:pPr>
            <w:r w:rsidRPr="00C14EB6">
              <w:rPr>
                <w:sz w:val="28"/>
                <w:szCs w:val="28"/>
              </w:rPr>
              <w:t>202</w:t>
            </w:r>
            <w:r w:rsidR="0035660F">
              <w:rPr>
                <w:sz w:val="28"/>
                <w:szCs w:val="28"/>
              </w:rPr>
              <w:t>5</w:t>
            </w:r>
            <w:r w:rsidRPr="00C14EB6">
              <w:rPr>
                <w:sz w:val="28"/>
                <w:szCs w:val="28"/>
              </w:rPr>
              <w:t xml:space="preserve"> год</w:t>
            </w:r>
          </w:p>
        </w:tc>
        <w:tc>
          <w:tcPr>
            <w:tcW w:w="1560" w:type="dxa"/>
          </w:tcPr>
          <w:p w:rsidR="00C14EB6" w:rsidRPr="00C14EB6" w:rsidRDefault="00C14EB6" w:rsidP="009663B7">
            <w:pPr>
              <w:autoSpaceDE w:val="0"/>
              <w:autoSpaceDN w:val="0"/>
              <w:adjustRightInd w:val="0"/>
              <w:jc w:val="center"/>
              <w:rPr>
                <w:sz w:val="28"/>
                <w:szCs w:val="28"/>
              </w:rPr>
            </w:pPr>
            <w:r w:rsidRPr="00C14EB6">
              <w:rPr>
                <w:sz w:val="28"/>
                <w:szCs w:val="28"/>
              </w:rPr>
              <w:t>202</w:t>
            </w:r>
            <w:r w:rsidR="0035660F">
              <w:rPr>
                <w:sz w:val="28"/>
                <w:szCs w:val="28"/>
              </w:rPr>
              <w:t>6</w:t>
            </w:r>
            <w:r w:rsidRPr="00C14EB6">
              <w:rPr>
                <w:sz w:val="28"/>
                <w:szCs w:val="28"/>
              </w:rPr>
              <w:t xml:space="preserve"> год</w:t>
            </w:r>
          </w:p>
        </w:tc>
        <w:tc>
          <w:tcPr>
            <w:tcW w:w="2411" w:type="dxa"/>
            <w:vMerge/>
          </w:tcPr>
          <w:p w:rsidR="00C14EB6" w:rsidRPr="00C14EB6" w:rsidRDefault="00C14EB6" w:rsidP="009663B7">
            <w:pPr>
              <w:autoSpaceDE w:val="0"/>
              <w:autoSpaceDN w:val="0"/>
              <w:adjustRightInd w:val="0"/>
              <w:jc w:val="center"/>
              <w:rPr>
                <w:bCs/>
                <w:strike/>
                <w:sz w:val="28"/>
                <w:szCs w:val="28"/>
              </w:rPr>
            </w:pPr>
          </w:p>
        </w:tc>
        <w:tc>
          <w:tcPr>
            <w:tcW w:w="3118" w:type="dxa"/>
            <w:vMerge/>
          </w:tcPr>
          <w:p w:rsidR="00C14EB6" w:rsidRPr="00C14EB6" w:rsidRDefault="00C14EB6" w:rsidP="009663B7">
            <w:pPr>
              <w:autoSpaceDE w:val="0"/>
              <w:autoSpaceDN w:val="0"/>
              <w:adjustRightInd w:val="0"/>
              <w:jc w:val="center"/>
              <w:rPr>
                <w:bCs/>
                <w:strike/>
                <w:sz w:val="28"/>
                <w:szCs w:val="28"/>
              </w:rPr>
            </w:pPr>
          </w:p>
        </w:tc>
      </w:tr>
      <w:tr w:rsidR="00C14EB6" w:rsidRPr="00C14EB6" w:rsidTr="008670B1">
        <w:tc>
          <w:tcPr>
            <w:tcW w:w="709" w:type="dxa"/>
          </w:tcPr>
          <w:p w:rsidR="00C14EB6" w:rsidRPr="00C14EB6" w:rsidRDefault="00C14EB6" w:rsidP="009663B7">
            <w:pPr>
              <w:autoSpaceDE w:val="0"/>
              <w:autoSpaceDN w:val="0"/>
              <w:adjustRightInd w:val="0"/>
              <w:jc w:val="center"/>
              <w:rPr>
                <w:sz w:val="28"/>
                <w:szCs w:val="28"/>
              </w:rPr>
            </w:pPr>
            <w:r w:rsidRPr="00C14EB6">
              <w:rPr>
                <w:sz w:val="28"/>
                <w:szCs w:val="28"/>
              </w:rPr>
              <w:t>1</w:t>
            </w:r>
          </w:p>
        </w:tc>
        <w:tc>
          <w:tcPr>
            <w:tcW w:w="2126" w:type="dxa"/>
          </w:tcPr>
          <w:p w:rsidR="00C14EB6" w:rsidRPr="00C14EB6" w:rsidRDefault="00C14EB6" w:rsidP="009663B7">
            <w:pPr>
              <w:autoSpaceDE w:val="0"/>
              <w:autoSpaceDN w:val="0"/>
              <w:adjustRightInd w:val="0"/>
              <w:jc w:val="center"/>
              <w:rPr>
                <w:sz w:val="28"/>
                <w:szCs w:val="28"/>
              </w:rPr>
            </w:pPr>
            <w:r w:rsidRPr="00C14EB6">
              <w:rPr>
                <w:sz w:val="28"/>
                <w:szCs w:val="28"/>
              </w:rPr>
              <w:t>2</w:t>
            </w:r>
          </w:p>
        </w:tc>
        <w:tc>
          <w:tcPr>
            <w:tcW w:w="1985" w:type="dxa"/>
          </w:tcPr>
          <w:p w:rsidR="00C14EB6" w:rsidRPr="00C14EB6" w:rsidRDefault="00C14EB6" w:rsidP="009663B7">
            <w:pPr>
              <w:autoSpaceDE w:val="0"/>
              <w:autoSpaceDN w:val="0"/>
              <w:adjustRightInd w:val="0"/>
              <w:jc w:val="center"/>
              <w:rPr>
                <w:sz w:val="28"/>
                <w:szCs w:val="28"/>
              </w:rPr>
            </w:pPr>
            <w:r w:rsidRPr="00C14EB6">
              <w:rPr>
                <w:sz w:val="28"/>
                <w:szCs w:val="28"/>
              </w:rPr>
              <w:t>3</w:t>
            </w:r>
          </w:p>
        </w:tc>
        <w:tc>
          <w:tcPr>
            <w:tcW w:w="1559" w:type="dxa"/>
          </w:tcPr>
          <w:p w:rsidR="00C14EB6" w:rsidRPr="00C14EB6" w:rsidRDefault="00C14EB6" w:rsidP="009663B7">
            <w:pPr>
              <w:autoSpaceDE w:val="0"/>
              <w:autoSpaceDN w:val="0"/>
              <w:adjustRightInd w:val="0"/>
              <w:jc w:val="center"/>
              <w:rPr>
                <w:sz w:val="28"/>
                <w:szCs w:val="28"/>
              </w:rPr>
            </w:pPr>
            <w:r w:rsidRPr="00C14EB6">
              <w:rPr>
                <w:sz w:val="28"/>
                <w:szCs w:val="28"/>
              </w:rPr>
              <w:t>4</w:t>
            </w:r>
          </w:p>
        </w:tc>
        <w:tc>
          <w:tcPr>
            <w:tcW w:w="1416" w:type="dxa"/>
          </w:tcPr>
          <w:p w:rsidR="00C14EB6" w:rsidRPr="00C14EB6" w:rsidRDefault="00C14EB6" w:rsidP="009663B7">
            <w:pPr>
              <w:autoSpaceDE w:val="0"/>
              <w:autoSpaceDN w:val="0"/>
              <w:adjustRightInd w:val="0"/>
              <w:jc w:val="center"/>
              <w:rPr>
                <w:sz w:val="28"/>
                <w:szCs w:val="28"/>
              </w:rPr>
            </w:pPr>
            <w:r w:rsidRPr="00C14EB6">
              <w:rPr>
                <w:sz w:val="28"/>
                <w:szCs w:val="28"/>
              </w:rPr>
              <w:t>5</w:t>
            </w:r>
          </w:p>
        </w:tc>
        <w:tc>
          <w:tcPr>
            <w:tcW w:w="1560" w:type="dxa"/>
          </w:tcPr>
          <w:p w:rsidR="00C14EB6" w:rsidRPr="00C14EB6" w:rsidRDefault="00C14EB6" w:rsidP="009663B7">
            <w:pPr>
              <w:autoSpaceDE w:val="0"/>
              <w:autoSpaceDN w:val="0"/>
              <w:adjustRightInd w:val="0"/>
              <w:jc w:val="center"/>
              <w:rPr>
                <w:sz w:val="28"/>
                <w:szCs w:val="28"/>
              </w:rPr>
            </w:pPr>
            <w:r w:rsidRPr="00C14EB6">
              <w:rPr>
                <w:sz w:val="28"/>
                <w:szCs w:val="28"/>
              </w:rPr>
              <w:t>6</w:t>
            </w:r>
          </w:p>
        </w:tc>
        <w:tc>
          <w:tcPr>
            <w:tcW w:w="2411" w:type="dxa"/>
          </w:tcPr>
          <w:p w:rsidR="00C14EB6" w:rsidRPr="00C14EB6" w:rsidRDefault="00C14EB6" w:rsidP="009663B7">
            <w:pPr>
              <w:autoSpaceDE w:val="0"/>
              <w:autoSpaceDN w:val="0"/>
              <w:adjustRightInd w:val="0"/>
              <w:jc w:val="center"/>
              <w:rPr>
                <w:sz w:val="28"/>
                <w:szCs w:val="28"/>
              </w:rPr>
            </w:pPr>
            <w:r w:rsidRPr="00C14EB6">
              <w:rPr>
                <w:sz w:val="28"/>
                <w:szCs w:val="28"/>
              </w:rPr>
              <w:t>7</w:t>
            </w:r>
          </w:p>
        </w:tc>
        <w:tc>
          <w:tcPr>
            <w:tcW w:w="3118" w:type="dxa"/>
          </w:tcPr>
          <w:p w:rsidR="00C14EB6" w:rsidRPr="00C14EB6" w:rsidRDefault="00C14EB6" w:rsidP="009663B7">
            <w:pPr>
              <w:autoSpaceDE w:val="0"/>
              <w:autoSpaceDN w:val="0"/>
              <w:adjustRightInd w:val="0"/>
              <w:jc w:val="center"/>
              <w:rPr>
                <w:sz w:val="28"/>
                <w:szCs w:val="28"/>
              </w:rPr>
            </w:pPr>
            <w:r w:rsidRPr="00C14EB6">
              <w:rPr>
                <w:sz w:val="28"/>
                <w:szCs w:val="28"/>
              </w:rPr>
              <w:t>8</w:t>
            </w:r>
          </w:p>
        </w:tc>
      </w:tr>
      <w:tr w:rsidR="00C14EB6" w:rsidRPr="00C14EB6" w:rsidTr="008670B1">
        <w:trPr>
          <w:trHeight w:val="740"/>
        </w:trPr>
        <w:tc>
          <w:tcPr>
            <w:tcW w:w="709"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2126"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1985"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1559"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1416"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1560"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2411" w:type="dxa"/>
          </w:tcPr>
          <w:p w:rsidR="00C14EB6" w:rsidRPr="00C14EB6" w:rsidRDefault="00C14EB6" w:rsidP="009663B7">
            <w:pPr>
              <w:autoSpaceDE w:val="0"/>
              <w:autoSpaceDN w:val="0"/>
              <w:adjustRightInd w:val="0"/>
              <w:jc w:val="center"/>
              <w:rPr>
                <w:sz w:val="28"/>
                <w:szCs w:val="28"/>
              </w:rPr>
            </w:pPr>
            <w:r w:rsidRPr="00C14EB6">
              <w:rPr>
                <w:sz w:val="28"/>
                <w:szCs w:val="28"/>
              </w:rPr>
              <w:t>-</w:t>
            </w:r>
          </w:p>
        </w:tc>
        <w:tc>
          <w:tcPr>
            <w:tcW w:w="3118" w:type="dxa"/>
          </w:tcPr>
          <w:p w:rsidR="00C14EB6" w:rsidRPr="00C14EB6" w:rsidRDefault="00C14EB6" w:rsidP="009663B7">
            <w:pPr>
              <w:autoSpaceDE w:val="0"/>
              <w:autoSpaceDN w:val="0"/>
              <w:adjustRightInd w:val="0"/>
              <w:jc w:val="center"/>
              <w:rPr>
                <w:sz w:val="28"/>
                <w:szCs w:val="28"/>
              </w:rPr>
            </w:pPr>
            <w:r w:rsidRPr="00C14EB6">
              <w:rPr>
                <w:sz w:val="28"/>
                <w:szCs w:val="28"/>
              </w:rPr>
              <w:t>-</w:t>
            </w:r>
          </w:p>
        </w:tc>
      </w:tr>
    </w:tbl>
    <w:p w:rsidR="001079F3" w:rsidRDefault="001079F3" w:rsidP="00FA673E">
      <w:pPr>
        <w:widowControl w:val="0"/>
        <w:rPr>
          <w:sz w:val="28"/>
          <w:szCs w:val="28"/>
        </w:rPr>
      </w:pPr>
      <w:bookmarkStart w:id="0" w:name="_GoBack"/>
      <w:bookmarkEnd w:id="0"/>
    </w:p>
    <w:sectPr w:rsidR="001079F3" w:rsidSect="00FA673E">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5EB" w:rsidRDefault="00BE05EB" w:rsidP="00EA2AA8">
      <w:r>
        <w:separator/>
      </w:r>
    </w:p>
  </w:endnote>
  <w:endnote w:type="continuationSeparator" w:id="0">
    <w:p w:rsidR="00BE05EB" w:rsidRDefault="00BE05E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5EB" w:rsidRDefault="00BE05EB" w:rsidP="00EA2AA8">
      <w:r>
        <w:separator/>
      </w:r>
    </w:p>
  </w:footnote>
  <w:footnote w:type="continuationSeparator" w:id="0">
    <w:p w:rsidR="00BE05EB" w:rsidRDefault="00BE05EB"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219398"/>
      <w:docPartObj>
        <w:docPartGallery w:val="Page Numbers (Top of Page)"/>
        <w:docPartUnique/>
      </w:docPartObj>
    </w:sdtPr>
    <w:sdtEndPr/>
    <w:sdtContent>
      <w:p w:rsidR="00FA673E" w:rsidRDefault="00FA673E">
        <w:pPr>
          <w:pStyle w:val="a8"/>
          <w:jc w:val="center"/>
        </w:pPr>
        <w:r>
          <w:fldChar w:fldCharType="begin"/>
        </w:r>
        <w:r>
          <w:instrText>PAGE   \* MERGEFORMAT</w:instrText>
        </w:r>
        <w:r>
          <w:fldChar w:fldCharType="separate"/>
        </w:r>
        <w:r w:rsidR="0074643B">
          <w:rPr>
            <w:noProof/>
          </w:rPr>
          <w:t>3</w:t>
        </w:r>
        <w:r>
          <w:fldChar w:fldCharType="end"/>
        </w:r>
      </w:p>
    </w:sdtContent>
  </w:sdt>
  <w:p w:rsidR="00FA673E" w:rsidRDefault="00FA673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643B"/>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5EB"/>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673E"/>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03C593"/>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194957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4E84-3F40-4470-AB55-F52705674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Pages>
  <Words>409</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2023-11-24T12:05:00Z</dcterms:modified>
</cp:coreProperties>
</file>